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C1D" w:rsidRDefault="00725C1D" w:rsidP="00725C1D">
      <w:pPr>
        <w:jc w:val="center"/>
        <w:rPr>
          <w:rFonts w:ascii="黑体" w:eastAsia="黑体" w:hAnsi="宋体"/>
          <w:color w:val="000000"/>
          <w:sz w:val="44"/>
          <w:szCs w:val="44"/>
        </w:rPr>
      </w:pPr>
      <w:r>
        <w:rPr>
          <w:rFonts w:ascii="黑体" w:eastAsia="黑体" w:hAnsi="黑体" w:hint="eastAsia"/>
          <w:color w:val="000000"/>
          <w:sz w:val="44"/>
          <w:szCs w:val="44"/>
        </w:rPr>
        <w:t>2023年9月12398能源监管热线</w:t>
      </w:r>
    </w:p>
    <w:p w:rsidR="00725C1D" w:rsidRDefault="00725C1D" w:rsidP="00725C1D">
      <w:pPr>
        <w:jc w:val="center"/>
        <w:rPr>
          <w:rFonts w:ascii="黑体" w:eastAsia="黑体" w:hAnsi="宋体" w:hint="eastAsia"/>
          <w:color w:val="000000"/>
          <w:sz w:val="44"/>
          <w:szCs w:val="44"/>
        </w:rPr>
      </w:pPr>
      <w:r>
        <w:rPr>
          <w:rFonts w:ascii="黑体" w:eastAsia="黑体" w:hAnsi="黑体" w:hint="eastAsia"/>
          <w:color w:val="000000"/>
          <w:sz w:val="44"/>
          <w:szCs w:val="44"/>
        </w:rPr>
        <w:t>投诉举报处理情况通报</w:t>
      </w:r>
    </w:p>
    <w:p w:rsidR="00725C1D" w:rsidRDefault="00725C1D" w:rsidP="00725C1D">
      <w:pPr>
        <w:spacing w:line="560" w:lineRule="exact"/>
        <w:ind w:firstLineChars="200" w:firstLine="643"/>
        <w:jc w:val="center"/>
        <w:rPr>
          <w:rFonts w:ascii="仿宋_GB2312" w:eastAsia="仿宋_GB2312" w:hint="eastAsia"/>
          <w:b/>
          <w:color w:val="000000"/>
          <w:sz w:val="32"/>
          <w:szCs w:val="32"/>
        </w:rPr>
      </w:pPr>
      <w:r>
        <w:rPr>
          <w:rFonts w:ascii="仿宋_GB2312" w:eastAsia="仿宋_GB2312" w:hint="eastAsia"/>
          <w:b/>
          <w:color w:val="000000"/>
          <w:sz w:val="32"/>
          <w:szCs w:val="32"/>
        </w:rPr>
        <w:t xml:space="preserve"> </w:t>
      </w:r>
    </w:p>
    <w:p w:rsidR="00725C1D" w:rsidRDefault="00725C1D" w:rsidP="00725C1D">
      <w:pPr>
        <w:spacing w:line="560" w:lineRule="exact"/>
        <w:ind w:firstLineChars="200" w:firstLine="640"/>
        <w:rPr>
          <w:rFonts w:ascii="黑体" w:eastAsia="黑体" w:hint="eastAsia"/>
          <w:color w:val="000000"/>
          <w:sz w:val="32"/>
          <w:szCs w:val="32"/>
        </w:rPr>
      </w:pPr>
      <w:r>
        <w:rPr>
          <w:rFonts w:ascii="黑体" w:eastAsia="黑体" w:hAnsi="黑体" w:hint="eastAsia"/>
          <w:color w:val="000000"/>
          <w:sz w:val="32"/>
          <w:szCs w:val="32"/>
        </w:rPr>
        <w:t>一、基本情况</w:t>
      </w:r>
      <w:r>
        <w:rPr>
          <w:rFonts w:ascii="黑体" w:eastAsia="黑体" w:hint="eastAsia"/>
          <w:color w:val="000000"/>
          <w:sz w:val="32"/>
          <w:szCs w:val="32"/>
        </w:rPr>
        <w:tab/>
      </w:r>
    </w:p>
    <w:p w:rsidR="00725C1D" w:rsidRDefault="00725C1D" w:rsidP="00725C1D">
      <w:pPr>
        <w:spacing w:line="560" w:lineRule="exact"/>
        <w:ind w:firstLineChars="200" w:firstLine="640"/>
        <w:rPr>
          <w:rFonts w:ascii="楷体_GB2312" w:hint="eastAsia"/>
          <w:color w:val="000000"/>
          <w:sz w:val="32"/>
          <w:szCs w:val="32"/>
        </w:rPr>
      </w:pPr>
      <w:r>
        <w:rPr>
          <w:rFonts w:ascii="楷体_GB2312" w:hAnsi="楷体_GB2312"/>
          <w:color w:val="000000"/>
          <w:sz w:val="32"/>
          <w:szCs w:val="32"/>
        </w:rPr>
        <w:t>（一）收到有效信息情况</w:t>
      </w:r>
    </w:p>
    <w:p w:rsidR="00725C1D" w:rsidRDefault="00725C1D" w:rsidP="00725C1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2023年9月，华东能源监管局12398能源监管热线（以下简称12398热线）共收到有效信息187件，环比下降22.08%，同比上升2.19%。其中投诉举报42件，环比下降35.38%，同比下降48.15%。</w:t>
      </w:r>
    </w:p>
    <w:p w:rsidR="00725C1D" w:rsidRDefault="00725C1D" w:rsidP="00725C1D">
      <w:pPr>
        <w:spacing w:line="560" w:lineRule="exact"/>
        <w:ind w:firstLineChars="200" w:firstLine="640"/>
        <w:rPr>
          <w:rFonts w:ascii="仿宋_GB2312" w:eastAsia="仿宋_GB2312" w:hint="eastAsia"/>
          <w:color w:val="000000"/>
          <w:sz w:val="32"/>
          <w:szCs w:val="32"/>
          <w:highlight w:val="yellow"/>
        </w:rPr>
      </w:pPr>
      <w:r>
        <w:rPr>
          <w:rFonts w:ascii="仿宋_GB2312" w:eastAsia="仿宋_GB2312" w:hint="eastAsia"/>
          <w:color w:val="000000"/>
          <w:sz w:val="32"/>
          <w:szCs w:val="32"/>
        </w:rPr>
        <w:t>按诉求性质分类，投诉38件，占有效信息的20.32%；举报4件，占有效信息的2.14%；咨询6件，占有效信息的3.21%；表扬、求助、建议等其他方面139件，占有效信息的74.33%。</w:t>
      </w:r>
      <w:bookmarkStart w:id="0" w:name="_GoBack"/>
      <w:bookmarkEnd w:id="0"/>
    </w:p>
    <w:p w:rsidR="00725C1D" w:rsidRDefault="00725C1D" w:rsidP="00725C1D">
      <w:pPr>
        <w:spacing w:line="560" w:lineRule="exact"/>
        <w:ind w:firstLineChars="200" w:firstLine="640"/>
        <w:rPr>
          <w:rFonts w:ascii="仿宋_GB2312" w:eastAsia="仿宋_GB2312" w:hint="eastAsia"/>
          <w:color w:val="000000"/>
          <w:sz w:val="32"/>
          <w:szCs w:val="32"/>
          <w:highlight w:val="yellow"/>
        </w:rPr>
      </w:pPr>
      <w:proofErr w:type="gramStart"/>
      <w:r>
        <w:rPr>
          <w:rFonts w:ascii="仿宋_GB2312" w:eastAsia="仿宋_GB2312" w:hint="eastAsia"/>
          <w:color w:val="000000"/>
          <w:sz w:val="32"/>
          <w:szCs w:val="32"/>
        </w:rPr>
        <w:t>按反映</w:t>
      </w:r>
      <w:proofErr w:type="gramEnd"/>
      <w:r>
        <w:rPr>
          <w:rFonts w:ascii="仿宋_GB2312" w:eastAsia="仿宋_GB2312" w:hint="eastAsia"/>
          <w:color w:val="000000"/>
          <w:sz w:val="32"/>
          <w:szCs w:val="32"/>
        </w:rPr>
        <w:t>渠道分类，12398电话(国家</w:t>
      </w:r>
      <w:proofErr w:type="gramStart"/>
      <w:r>
        <w:rPr>
          <w:rFonts w:ascii="仿宋_GB2312" w:eastAsia="仿宋_GB2312" w:hint="eastAsia"/>
          <w:color w:val="000000"/>
          <w:sz w:val="32"/>
          <w:szCs w:val="32"/>
        </w:rPr>
        <w:t>能源局转</w:t>
      </w:r>
      <w:proofErr w:type="gramEnd"/>
      <w:r>
        <w:rPr>
          <w:rFonts w:ascii="仿宋_GB2312" w:eastAsia="仿宋_GB2312" w:hint="eastAsia"/>
          <w:color w:val="000000"/>
          <w:sz w:val="32"/>
          <w:szCs w:val="32"/>
        </w:rPr>
        <w:t>)166件，12398互联网终端（国家能源局转）13件，12398邮件（国家能源局转）6件，留言（国家能源局转）1件，上级交办（国家能源局转）1件。</w:t>
      </w:r>
    </w:p>
    <w:p w:rsidR="00725C1D" w:rsidRDefault="00725C1D" w:rsidP="00725C1D">
      <w:pPr>
        <w:widowControl/>
        <w:snapToGrid w:val="0"/>
        <w:spacing w:line="360" w:lineRule="auto"/>
        <w:jc w:val="center"/>
        <w:rPr>
          <w:rFonts w:ascii="宋体" w:hAnsi="宋体" w:hint="eastAsia"/>
          <w:b/>
          <w:color w:val="000000"/>
          <w:kern w:val="0"/>
          <w:sz w:val="30"/>
          <w:szCs w:val="30"/>
        </w:rPr>
      </w:pPr>
      <w:r>
        <w:rPr>
          <w:rFonts w:ascii="宋体" w:hAnsi="宋体" w:hint="eastAsia"/>
          <w:b/>
          <w:color w:val="000000"/>
          <w:kern w:val="0"/>
          <w:sz w:val="30"/>
          <w:szCs w:val="30"/>
        </w:rPr>
        <w:t>表</w:t>
      </w:r>
      <w:proofErr w:type="gramStart"/>
      <w:r>
        <w:rPr>
          <w:rFonts w:ascii="宋体" w:hAnsi="宋体" w:hint="eastAsia"/>
          <w:b/>
          <w:color w:val="000000"/>
          <w:kern w:val="0"/>
          <w:sz w:val="30"/>
          <w:szCs w:val="30"/>
        </w:rPr>
        <w:t>一</w:t>
      </w:r>
      <w:proofErr w:type="gramEnd"/>
      <w:r>
        <w:rPr>
          <w:rFonts w:ascii="宋体" w:hAnsi="宋体" w:hint="eastAsia"/>
          <w:b/>
          <w:color w:val="000000"/>
          <w:kern w:val="0"/>
          <w:sz w:val="30"/>
          <w:szCs w:val="30"/>
        </w:rPr>
        <w:t xml:space="preserve">  2023年9月收到有效信息情况</w:t>
      </w:r>
    </w:p>
    <w:p w:rsidR="00725C1D" w:rsidRDefault="00725C1D" w:rsidP="00725C1D">
      <w:pPr>
        <w:widowControl/>
        <w:snapToGrid w:val="0"/>
        <w:jc w:val="right"/>
        <w:rPr>
          <w:rFonts w:ascii="宋体" w:hAnsi="宋体" w:hint="eastAsia"/>
          <w:color w:val="000000"/>
          <w:kern w:val="0"/>
          <w:sz w:val="24"/>
          <w:szCs w:val="24"/>
        </w:rPr>
      </w:pPr>
      <w:r>
        <w:rPr>
          <w:rFonts w:ascii="宋体" w:hAnsi="宋体" w:hint="eastAsia"/>
          <w:color w:val="000000"/>
          <w:kern w:val="0"/>
          <w:sz w:val="24"/>
          <w:szCs w:val="24"/>
        </w:rPr>
        <w:t>单位：件</w:t>
      </w:r>
    </w:p>
    <w:tbl>
      <w:tblPr>
        <w:tblW w:w="4994" w:type="pct"/>
        <w:jc w:val="center"/>
        <w:tblBorders>
          <w:top w:val="thinThickSmallGap" w:sz="12" w:space="0" w:color="000000"/>
          <w:left w:val="thinThickSmallGap" w:sz="12" w:space="0" w:color="000000"/>
          <w:bottom w:val="thickThinSmallGap" w:sz="12" w:space="0" w:color="000000"/>
          <w:right w:val="thickThinSmallGap" w:sz="12" w:space="0" w:color="000000"/>
          <w:insideH w:val="single" w:sz="4" w:space="0" w:color="000000"/>
          <w:insideV w:val="single" w:sz="4" w:space="0" w:color="000000"/>
        </w:tblBorders>
        <w:tblLook w:val="04A0" w:firstRow="1" w:lastRow="0" w:firstColumn="1" w:lastColumn="0" w:noHBand="0" w:noVBand="1"/>
      </w:tblPr>
      <w:tblGrid>
        <w:gridCol w:w="2607"/>
        <w:gridCol w:w="1172"/>
        <w:gridCol w:w="1177"/>
        <w:gridCol w:w="1186"/>
        <w:gridCol w:w="1185"/>
        <w:gridCol w:w="1185"/>
      </w:tblGrid>
      <w:tr w:rsidR="00725C1D" w:rsidTr="00725C1D">
        <w:trPr>
          <w:trHeight w:val="375"/>
          <w:jc w:val="center"/>
        </w:trPr>
        <w:tc>
          <w:tcPr>
            <w:tcW w:w="1530" w:type="pct"/>
            <w:tcBorders>
              <w:top w:val="thinThickSmallGap" w:sz="12"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反映渠道</w:t>
            </w:r>
          </w:p>
        </w:tc>
        <w:tc>
          <w:tcPr>
            <w:tcW w:w="688"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投诉</w:t>
            </w:r>
          </w:p>
        </w:tc>
        <w:tc>
          <w:tcPr>
            <w:tcW w:w="691"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举报</w:t>
            </w:r>
          </w:p>
        </w:tc>
        <w:tc>
          <w:tcPr>
            <w:tcW w:w="696"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咨询</w:t>
            </w:r>
          </w:p>
        </w:tc>
        <w:tc>
          <w:tcPr>
            <w:tcW w:w="696"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其他</w:t>
            </w:r>
          </w:p>
        </w:tc>
        <w:tc>
          <w:tcPr>
            <w:tcW w:w="696" w:type="pct"/>
            <w:tcBorders>
              <w:top w:val="thinThickSmallGap" w:sz="12"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小计</w:t>
            </w:r>
          </w:p>
        </w:tc>
      </w:tr>
      <w:tr w:rsidR="00725C1D" w:rsidTr="00725C1D">
        <w:trPr>
          <w:trHeight w:val="585"/>
          <w:jc w:val="center"/>
        </w:trPr>
        <w:tc>
          <w:tcPr>
            <w:tcW w:w="1530"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12398电话</w:t>
            </w:r>
          </w:p>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(国家</w:t>
            </w:r>
            <w:proofErr w:type="gramStart"/>
            <w:r>
              <w:rPr>
                <w:rFonts w:ascii="仿宋_GB2312" w:eastAsia="仿宋_GB2312" w:hAnsi="宋体" w:cs="宋体" w:hint="eastAsia"/>
                <w:b/>
                <w:bCs/>
                <w:kern w:val="0"/>
                <w:sz w:val="24"/>
                <w:szCs w:val="24"/>
              </w:rPr>
              <w:t>能源局转</w:t>
            </w:r>
            <w:proofErr w:type="gramEnd"/>
            <w:r>
              <w:rPr>
                <w:rFonts w:ascii="仿宋_GB2312" w:eastAsia="仿宋_GB2312" w:hAnsi="宋体" w:cs="宋体" w:hint="eastAsia"/>
                <w:b/>
                <w:bCs/>
                <w:kern w:val="0"/>
                <w:sz w:val="24"/>
                <w:szCs w:val="24"/>
              </w:rPr>
              <w:t>)</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37</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124</w:t>
            </w:r>
          </w:p>
        </w:tc>
        <w:tc>
          <w:tcPr>
            <w:tcW w:w="696"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166</w:t>
            </w:r>
          </w:p>
        </w:tc>
      </w:tr>
      <w:tr w:rsidR="00725C1D" w:rsidTr="00725C1D">
        <w:trPr>
          <w:trHeight w:val="585"/>
          <w:jc w:val="center"/>
        </w:trPr>
        <w:tc>
          <w:tcPr>
            <w:tcW w:w="1530"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12398互联网终端</w:t>
            </w:r>
          </w:p>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(国家</w:t>
            </w:r>
            <w:proofErr w:type="gramStart"/>
            <w:r>
              <w:rPr>
                <w:rFonts w:ascii="仿宋_GB2312" w:eastAsia="仿宋_GB2312" w:hAnsi="宋体" w:cs="宋体" w:hint="eastAsia"/>
                <w:b/>
                <w:bCs/>
                <w:kern w:val="0"/>
                <w:sz w:val="24"/>
                <w:szCs w:val="24"/>
              </w:rPr>
              <w:t>能源局转</w:t>
            </w:r>
            <w:proofErr w:type="gramEnd"/>
            <w:r>
              <w:rPr>
                <w:rFonts w:ascii="仿宋_GB2312" w:eastAsia="仿宋_GB2312" w:hAnsi="宋体" w:cs="宋体" w:hint="eastAsia"/>
                <w:b/>
                <w:bCs/>
                <w:kern w:val="0"/>
                <w:sz w:val="24"/>
                <w:szCs w:val="24"/>
              </w:rPr>
              <w:t>)</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11</w:t>
            </w:r>
          </w:p>
        </w:tc>
        <w:tc>
          <w:tcPr>
            <w:tcW w:w="696"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w:t>
            </w:r>
          </w:p>
        </w:tc>
      </w:tr>
      <w:tr w:rsidR="00725C1D" w:rsidTr="00725C1D">
        <w:trPr>
          <w:trHeight w:val="585"/>
          <w:jc w:val="center"/>
        </w:trPr>
        <w:tc>
          <w:tcPr>
            <w:tcW w:w="1530"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12398邮件</w:t>
            </w:r>
          </w:p>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(国家</w:t>
            </w:r>
            <w:proofErr w:type="gramStart"/>
            <w:r>
              <w:rPr>
                <w:rFonts w:ascii="仿宋_GB2312" w:eastAsia="仿宋_GB2312" w:hAnsi="宋体" w:cs="宋体" w:hint="eastAsia"/>
                <w:b/>
                <w:bCs/>
                <w:kern w:val="0"/>
                <w:sz w:val="24"/>
                <w:szCs w:val="24"/>
              </w:rPr>
              <w:t>能源局转</w:t>
            </w:r>
            <w:proofErr w:type="gramEnd"/>
            <w:r>
              <w:rPr>
                <w:rFonts w:ascii="仿宋_GB2312" w:eastAsia="仿宋_GB2312" w:hAnsi="宋体" w:cs="宋体" w:hint="eastAsia"/>
                <w:b/>
                <w:bCs/>
                <w:kern w:val="0"/>
                <w:sz w:val="24"/>
                <w:szCs w:val="24"/>
              </w:rPr>
              <w:t>)</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696"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r>
      <w:tr w:rsidR="00725C1D" w:rsidTr="00725C1D">
        <w:trPr>
          <w:trHeight w:val="585"/>
          <w:jc w:val="center"/>
        </w:trPr>
        <w:tc>
          <w:tcPr>
            <w:tcW w:w="1530"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留言</w:t>
            </w:r>
          </w:p>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（国家能源局转）</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96"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r>
      <w:tr w:rsidR="00725C1D" w:rsidTr="00725C1D">
        <w:trPr>
          <w:trHeight w:val="585"/>
          <w:jc w:val="center"/>
        </w:trPr>
        <w:tc>
          <w:tcPr>
            <w:tcW w:w="1530"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lastRenderedPageBreak/>
              <w:t>上级交办</w:t>
            </w:r>
          </w:p>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（国家能源局转）</w:t>
            </w:r>
          </w:p>
        </w:tc>
        <w:tc>
          <w:tcPr>
            <w:tcW w:w="688"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1"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96"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696"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r>
      <w:tr w:rsidR="00725C1D" w:rsidTr="00725C1D">
        <w:trPr>
          <w:trHeight w:val="585"/>
          <w:jc w:val="center"/>
        </w:trPr>
        <w:tc>
          <w:tcPr>
            <w:tcW w:w="1530" w:type="pct"/>
            <w:tcBorders>
              <w:top w:val="single" w:sz="4" w:space="0" w:color="000000"/>
              <w:left w:val="thinThickSmallGap" w:sz="12" w:space="0" w:color="000000"/>
              <w:bottom w:val="thickThinSmallGap" w:sz="12"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总计</w:t>
            </w:r>
          </w:p>
        </w:tc>
        <w:tc>
          <w:tcPr>
            <w:tcW w:w="688"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38</w:t>
            </w:r>
          </w:p>
        </w:tc>
        <w:tc>
          <w:tcPr>
            <w:tcW w:w="691"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696"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696"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139</w:t>
            </w:r>
          </w:p>
        </w:tc>
        <w:tc>
          <w:tcPr>
            <w:tcW w:w="696" w:type="pct"/>
            <w:tcBorders>
              <w:top w:val="single" w:sz="4" w:space="0" w:color="000000"/>
              <w:left w:val="single" w:sz="4" w:space="0" w:color="000000"/>
              <w:bottom w:val="thickThinSmallGap" w:sz="12" w:space="0" w:color="000000"/>
              <w:right w:val="thickThinSmallGap" w:sz="12" w:space="0" w:color="000000"/>
            </w:tcBorders>
            <w:vAlign w:val="center"/>
            <w:hideMark/>
          </w:tcPr>
          <w:p w:rsidR="00725C1D" w:rsidRDefault="00725C1D">
            <w:pPr>
              <w:widowControl/>
              <w:spacing w:line="30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187</w:t>
            </w:r>
          </w:p>
        </w:tc>
      </w:tr>
    </w:tbl>
    <w:p w:rsidR="00725C1D" w:rsidRDefault="00725C1D" w:rsidP="00725C1D">
      <w:pPr>
        <w:widowControl/>
        <w:snapToGrid w:val="0"/>
        <w:spacing w:line="360" w:lineRule="exact"/>
        <w:jc w:val="center"/>
        <w:rPr>
          <w:rFonts w:ascii="宋体" w:hAnsi="宋体" w:hint="eastAsia"/>
          <w:color w:val="000000"/>
          <w:kern w:val="0"/>
          <w:sz w:val="28"/>
          <w:szCs w:val="28"/>
          <w:highlight w:val="yellow"/>
        </w:rPr>
      </w:pPr>
      <w:r>
        <w:rPr>
          <w:rFonts w:ascii="宋体" w:hAnsi="宋体" w:hint="eastAsia"/>
          <w:color w:val="000000"/>
          <w:kern w:val="0"/>
          <w:sz w:val="28"/>
          <w:szCs w:val="28"/>
          <w:highlight w:val="yellow"/>
        </w:rPr>
        <w:t xml:space="preserve"> </w:t>
      </w:r>
    </w:p>
    <w:p w:rsidR="00725C1D" w:rsidRDefault="00725C1D" w:rsidP="00725C1D">
      <w:pPr>
        <w:spacing w:line="560" w:lineRule="exact"/>
        <w:ind w:firstLineChars="200" w:firstLine="640"/>
        <w:rPr>
          <w:rFonts w:ascii="楷体_GB2312" w:hint="eastAsia"/>
          <w:color w:val="000000"/>
          <w:sz w:val="32"/>
          <w:szCs w:val="32"/>
        </w:rPr>
      </w:pPr>
      <w:r>
        <w:rPr>
          <w:rFonts w:ascii="楷体_GB2312" w:hAnsi="楷体_GB2312"/>
          <w:color w:val="000000"/>
          <w:sz w:val="32"/>
          <w:szCs w:val="32"/>
        </w:rPr>
        <w:t>（二）分类情况</w:t>
      </w:r>
    </w:p>
    <w:p w:rsidR="00725C1D" w:rsidRDefault="00725C1D" w:rsidP="00725C1D">
      <w:pPr>
        <w:spacing w:line="640" w:lineRule="exact"/>
        <w:ind w:firstLineChars="200" w:firstLine="640"/>
        <w:rPr>
          <w:rFonts w:ascii="仿宋_GB2312" w:eastAsia="仿宋_GB2312"/>
          <w:color w:val="000000"/>
          <w:sz w:val="32"/>
          <w:szCs w:val="32"/>
          <w:highlight w:val="yellow"/>
        </w:rPr>
      </w:pPr>
      <w:r>
        <w:rPr>
          <w:rFonts w:ascii="仿宋_GB2312" w:eastAsia="仿宋_GB2312" w:hint="eastAsia"/>
          <w:sz w:val="32"/>
          <w:szCs w:val="32"/>
        </w:rPr>
        <w:t>2023年9月收到的有效信息共187件，其中：电力行业类169件，占90.37%；新能源和可再生能源行业类18件，占9.63%。</w:t>
      </w:r>
    </w:p>
    <w:p w:rsidR="00725C1D" w:rsidRDefault="00725C1D" w:rsidP="00725C1D">
      <w:pPr>
        <w:spacing w:line="640" w:lineRule="exact"/>
        <w:ind w:firstLineChars="200" w:firstLine="640"/>
        <w:rPr>
          <w:rFonts w:ascii="宋体" w:hAnsi="宋体" w:hint="eastAsia"/>
          <w:b/>
          <w:color w:val="000000"/>
          <w:kern w:val="0"/>
          <w:sz w:val="32"/>
          <w:szCs w:val="32"/>
          <w:highlight w:val="yellow"/>
        </w:rPr>
      </w:pPr>
      <w:r>
        <w:rPr>
          <w:rFonts w:ascii="仿宋_GB2312" w:eastAsia="仿宋_GB2312" w:hint="eastAsia"/>
          <w:color w:val="000000"/>
          <w:sz w:val="32"/>
          <w:szCs w:val="32"/>
        </w:rPr>
        <w:t>收到的投诉</w:t>
      </w:r>
      <w:proofErr w:type="gramStart"/>
      <w:r>
        <w:rPr>
          <w:rFonts w:ascii="仿宋_GB2312" w:eastAsia="仿宋_GB2312" w:hint="eastAsia"/>
          <w:color w:val="000000"/>
          <w:sz w:val="32"/>
          <w:szCs w:val="32"/>
        </w:rPr>
        <w:t>举报共</w:t>
      </w:r>
      <w:proofErr w:type="gramEnd"/>
      <w:r>
        <w:rPr>
          <w:rFonts w:ascii="仿宋_GB2312" w:eastAsia="仿宋_GB2312" w:hint="eastAsia"/>
          <w:color w:val="000000"/>
          <w:sz w:val="32"/>
          <w:szCs w:val="32"/>
        </w:rPr>
        <w:t>42件，主要集中在电力行业，其次为</w:t>
      </w:r>
      <w:r>
        <w:rPr>
          <w:rFonts w:ascii="仿宋_GB2312" w:eastAsia="仿宋_GB2312" w:hint="eastAsia"/>
          <w:sz w:val="32"/>
          <w:szCs w:val="32"/>
        </w:rPr>
        <w:t>新能源和可再生能源行业</w:t>
      </w:r>
      <w:r>
        <w:rPr>
          <w:rFonts w:ascii="仿宋_GB2312" w:eastAsia="仿宋_GB2312" w:hint="eastAsia"/>
          <w:color w:val="000000"/>
          <w:sz w:val="32"/>
          <w:szCs w:val="32"/>
        </w:rPr>
        <w:t>。其中：供电服务类34件,占75.38%；电力安全类3件，占12.31%；市场准入类3件，占6.15%；并网发电类2件，占4.62%。</w:t>
      </w:r>
    </w:p>
    <w:p w:rsidR="00725C1D" w:rsidRDefault="00725C1D" w:rsidP="00725C1D">
      <w:pPr>
        <w:widowControl/>
        <w:snapToGrid w:val="0"/>
        <w:spacing w:line="360" w:lineRule="auto"/>
        <w:jc w:val="center"/>
        <w:rPr>
          <w:rFonts w:ascii="宋体" w:hAnsi="宋体" w:hint="eastAsia"/>
          <w:b/>
          <w:color w:val="000000"/>
          <w:kern w:val="0"/>
          <w:sz w:val="30"/>
          <w:szCs w:val="30"/>
        </w:rPr>
      </w:pPr>
      <w:r>
        <w:rPr>
          <w:rFonts w:ascii="宋体" w:hAnsi="宋体" w:hint="eastAsia"/>
          <w:b/>
          <w:color w:val="000000"/>
          <w:kern w:val="0"/>
          <w:sz w:val="30"/>
          <w:szCs w:val="30"/>
        </w:rPr>
        <w:t xml:space="preserve">表二 </w:t>
      </w:r>
      <w:r>
        <w:rPr>
          <w:rFonts w:ascii="宋体" w:hAnsi="宋体" w:hint="eastAsia"/>
          <w:b/>
          <w:kern w:val="0"/>
          <w:sz w:val="30"/>
          <w:szCs w:val="30"/>
        </w:rPr>
        <w:t xml:space="preserve"> 2023年9月</w:t>
      </w:r>
      <w:r>
        <w:rPr>
          <w:rFonts w:ascii="宋体" w:hAnsi="宋体" w:hint="eastAsia"/>
          <w:b/>
          <w:color w:val="000000"/>
          <w:kern w:val="0"/>
          <w:sz w:val="30"/>
          <w:szCs w:val="30"/>
        </w:rPr>
        <w:t>有效信息按业务分类情况</w:t>
      </w:r>
    </w:p>
    <w:p w:rsidR="00725C1D" w:rsidRDefault="00725C1D" w:rsidP="00725C1D">
      <w:pPr>
        <w:widowControl/>
        <w:snapToGrid w:val="0"/>
        <w:jc w:val="right"/>
        <w:rPr>
          <w:rFonts w:ascii="宋体" w:hAnsi="宋体" w:hint="eastAsia"/>
          <w:b/>
          <w:color w:val="000000"/>
          <w:kern w:val="0"/>
          <w:sz w:val="30"/>
          <w:szCs w:val="30"/>
        </w:rPr>
      </w:pPr>
      <w:r>
        <w:rPr>
          <w:rFonts w:ascii="宋体" w:hAnsi="宋体" w:hint="eastAsia"/>
          <w:color w:val="000000"/>
          <w:kern w:val="0"/>
          <w:sz w:val="24"/>
          <w:szCs w:val="24"/>
        </w:rPr>
        <w:t>单位：件</w:t>
      </w:r>
    </w:p>
    <w:tbl>
      <w:tblPr>
        <w:tblW w:w="4998" w:type="pct"/>
        <w:jc w:val="center"/>
        <w:tblBorders>
          <w:top w:val="thinThickSmallGap" w:sz="12" w:space="0" w:color="000000"/>
          <w:left w:val="thinThickSmallGap" w:sz="12" w:space="0" w:color="000000"/>
          <w:bottom w:val="thickThinSmallGap" w:sz="12" w:space="0" w:color="000000"/>
          <w:right w:val="thickThinSmallGap" w:sz="12" w:space="0" w:color="000000"/>
          <w:insideH w:val="single" w:sz="4" w:space="0" w:color="000000"/>
          <w:insideV w:val="single" w:sz="4" w:space="0" w:color="000000"/>
        </w:tblBorders>
        <w:tblLook w:val="04A0" w:firstRow="1" w:lastRow="0" w:firstColumn="1" w:lastColumn="0" w:noHBand="0" w:noVBand="1"/>
      </w:tblPr>
      <w:tblGrid>
        <w:gridCol w:w="2080"/>
        <w:gridCol w:w="2084"/>
        <w:gridCol w:w="871"/>
        <w:gridCol w:w="871"/>
        <w:gridCol w:w="871"/>
        <w:gridCol w:w="871"/>
        <w:gridCol w:w="871"/>
      </w:tblGrid>
      <w:tr w:rsidR="00725C1D" w:rsidRPr="00725C1D" w:rsidTr="00725C1D">
        <w:trPr>
          <w:trHeight w:val="510"/>
          <w:jc w:val="center"/>
        </w:trPr>
        <w:tc>
          <w:tcPr>
            <w:tcW w:w="1220" w:type="pct"/>
            <w:tcBorders>
              <w:top w:val="thinThickSmallGap" w:sz="12" w:space="0" w:color="000000"/>
              <w:left w:val="thinThickSmallGap" w:sz="12"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行业类别</w:t>
            </w:r>
          </w:p>
        </w:tc>
        <w:tc>
          <w:tcPr>
            <w:tcW w:w="1223" w:type="pct"/>
            <w:tcBorders>
              <w:top w:val="thinThickSmallGap" w:sz="12" w:space="0" w:color="000000"/>
              <w:left w:val="single" w:sz="4"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业务类别</w:t>
            </w:r>
          </w:p>
        </w:tc>
        <w:tc>
          <w:tcPr>
            <w:tcW w:w="511" w:type="pct"/>
            <w:tcBorders>
              <w:top w:val="thinThickSmallGap" w:sz="12" w:space="0" w:color="000000"/>
              <w:left w:val="single" w:sz="4"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投诉</w:t>
            </w:r>
          </w:p>
        </w:tc>
        <w:tc>
          <w:tcPr>
            <w:tcW w:w="511" w:type="pct"/>
            <w:tcBorders>
              <w:top w:val="thinThickSmallGap" w:sz="12" w:space="0" w:color="000000"/>
              <w:left w:val="single" w:sz="4"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举报</w:t>
            </w:r>
          </w:p>
        </w:tc>
        <w:tc>
          <w:tcPr>
            <w:tcW w:w="511" w:type="pct"/>
            <w:tcBorders>
              <w:top w:val="thinThickSmallGap" w:sz="12" w:space="0" w:color="000000"/>
              <w:left w:val="single" w:sz="4"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咨询</w:t>
            </w:r>
          </w:p>
        </w:tc>
        <w:tc>
          <w:tcPr>
            <w:tcW w:w="511" w:type="pct"/>
            <w:tcBorders>
              <w:top w:val="thinThickSmallGap" w:sz="12" w:space="0" w:color="000000"/>
              <w:left w:val="single" w:sz="4" w:space="0" w:color="000000"/>
              <w:bottom w:val="single" w:sz="4" w:space="0" w:color="000000"/>
              <w:right w:val="single" w:sz="4"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其他</w:t>
            </w:r>
          </w:p>
        </w:tc>
        <w:tc>
          <w:tcPr>
            <w:tcW w:w="511" w:type="pct"/>
            <w:tcBorders>
              <w:top w:val="thinThickSmallGap" w:sz="12"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jc w:val="center"/>
              <w:rPr>
                <w:rFonts w:ascii="仿宋" w:eastAsia="仿宋" w:hAnsi="仿宋" w:cs="宋体"/>
                <w:b/>
                <w:bCs/>
                <w:color w:val="000000"/>
                <w:kern w:val="0"/>
                <w:sz w:val="24"/>
                <w:szCs w:val="24"/>
              </w:rPr>
            </w:pPr>
            <w:r w:rsidRPr="00725C1D">
              <w:rPr>
                <w:rFonts w:ascii="仿宋" w:eastAsia="仿宋" w:hAnsi="仿宋" w:cs="宋体" w:hint="eastAsia"/>
                <w:b/>
                <w:bCs/>
                <w:color w:val="000000"/>
                <w:kern w:val="0"/>
                <w:sz w:val="24"/>
                <w:szCs w:val="24"/>
              </w:rPr>
              <w:t>小计</w:t>
            </w:r>
          </w:p>
        </w:tc>
      </w:tr>
      <w:tr w:rsidR="00725C1D" w:rsidRPr="00725C1D" w:rsidTr="00725C1D">
        <w:trPr>
          <w:jc w:val="center"/>
        </w:trPr>
        <w:tc>
          <w:tcPr>
            <w:tcW w:w="1220" w:type="pct"/>
            <w:vMerge w:val="restart"/>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电力行业</w:t>
            </w: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供电服务</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33</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4</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95</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133</w:t>
            </w:r>
          </w:p>
        </w:tc>
      </w:tr>
      <w:tr w:rsidR="00725C1D" w:rsidRPr="00725C1D" w:rsidTr="00725C1D">
        <w:trPr>
          <w:jc w:val="center"/>
        </w:trPr>
        <w:tc>
          <w:tcPr>
            <w:tcW w:w="0" w:type="auto"/>
            <w:vMerge/>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widowControl/>
              <w:jc w:val="left"/>
              <w:rPr>
                <w:rFonts w:ascii="仿宋" w:eastAsia="仿宋" w:hAnsi="仿宋"/>
                <w:b/>
                <w:bCs/>
                <w:color w:val="000000"/>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电力安全</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3</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15</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18</w:t>
            </w:r>
          </w:p>
        </w:tc>
      </w:tr>
      <w:tr w:rsidR="00725C1D" w:rsidRPr="00725C1D" w:rsidTr="00725C1D">
        <w:trPr>
          <w:jc w:val="center"/>
        </w:trPr>
        <w:tc>
          <w:tcPr>
            <w:tcW w:w="0" w:type="auto"/>
            <w:vMerge/>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widowControl/>
              <w:jc w:val="left"/>
              <w:rPr>
                <w:rFonts w:ascii="仿宋" w:eastAsia="仿宋" w:hAnsi="仿宋"/>
                <w:b/>
                <w:bCs/>
                <w:color w:val="000000"/>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其他</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11</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11</w:t>
            </w:r>
          </w:p>
        </w:tc>
      </w:tr>
      <w:tr w:rsidR="00725C1D" w:rsidRPr="00725C1D" w:rsidTr="00725C1D">
        <w:trPr>
          <w:jc w:val="center"/>
        </w:trPr>
        <w:tc>
          <w:tcPr>
            <w:tcW w:w="0" w:type="auto"/>
            <w:vMerge/>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widowControl/>
              <w:jc w:val="left"/>
              <w:rPr>
                <w:rFonts w:ascii="仿宋" w:eastAsia="仿宋" w:hAnsi="仿宋"/>
                <w:b/>
                <w:bCs/>
                <w:color w:val="000000"/>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市场准入</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3</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4</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7</w:t>
            </w:r>
          </w:p>
        </w:tc>
      </w:tr>
      <w:tr w:rsidR="00725C1D" w:rsidRPr="00725C1D" w:rsidTr="00725C1D">
        <w:trPr>
          <w:jc w:val="center"/>
        </w:trPr>
        <w:tc>
          <w:tcPr>
            <w:tcW w:w="1220" w:type="pct"/>
            <w:vMerge w:val="restart"/>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新能源和可再生能源行业</w:t>
            </w: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并网发电</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2</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13</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15</w:t>
            </w:r>
          </w:p>
        </w:tc>
      </w:tr>
      <w:tr w:rsidR="00725C1D" w:rsidRPr="00725C1D" w:rsidTr="00725C1D">
        <w:trPr>
          <w:jc w:val="center"/>
        </w:trPr>
        <w:tc>
          <w:tcPr>
            <w:tcW w:w="0" w:type="auto"/>
            <w:vMerge/>
            <w:tcBorders>
              <w:top w:val="single" w:sz="4" w:space="0" w:color="000000"/>
              <w:left w:val="thinThickSmallGap" w:sz="12" w:space="0" w:color="000000"/>
              <w:bottom w:val="single" w:sz="4" w:space="0" w:color="000000"/>
              <w:right w:val="single" w:sz="4" w:space="0" w:color="000000"/>
            </w:tcBorders>
            <w:vAlign w:val="center"/>
            <w:hideMark/>
          </w:tcPr>
          <w:p w:rsidR="00725C1D" w:rsidRPr="00725C1D" w:rsidRDefault="00725C1D">
            <w:pPr>
              <w:widowControl/>
              <w:jc w:val="left"/>
              <w:rPr>
                <w:rFonts w:ascii="仿宋" w:eastAsia="仿宋" w:hAnsi="仿宋"/>
                <w:b/>
                <w:bCs/>
                <w:color w:val="000000"/>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补贴和费用</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2</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w:t>
            </w:r>
          </w:p>
        </w:tc>
        <w:tc>
          <w:tcPr>
            <w:tcW w:w="511" w:type="pct"/>
            <w:tcBorders>
              <w:top w:val="single" w:sz="4" w:space="0" w:color="000000"/>
              <w:left w:val="single" w:sz="4" w:space="0" w:color="000000"/>
              <w:bottom w:val="single" w:sz="4"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3</w:t>
            </w:r>
          </w:p>
        </w:tc>
      </w:tr>
      <w:tr w:rsidR="00725C1D" w:rsidRPr="00725C1D" w:rsidTr="00725C1D">
        <w:trPr>
          <w:jc w:val="center"/>
        </w:trPr>
        <w:tc>
          <w:tcPr>
            <w:tcW w:w="2443" w:type="pct"/>
            <w:gridSpan w:val="2"/>
            <w:tcBorders>
              <w:top w:val="single" w:sz="4" w:space="0" w:color="000000"/>
              <w:left w:val="thinThickSmallGap" w:sz="12" w:space="0" w:color="000000"/>
              <w:bottom w:val="thickThinSmallGap" w:sz="12" w:space="0" w:color="000000"/>
              <w:right w:val="single" w:sz="4" w:space="0" w:color="000000"/>
            </w:tcBorders>
            <w:vAlign w:val="center"/>
            <w:hideMark/>
          </w:tcPr>
          <w:p w:rsidR="00725C1D" w:rsidRPr="00725C1D" w:rsidRDefault="00725C1D">
            <w:pPr>
              <w:jc w:val="center"/>
              <w:rPr>
                <w:rFonts w:ascii="仿宋" w:eastAsia="仿宋" w:hAnsi="仿宋"/>
                <w:b/>
                <w:bCs/>
                <w:color w:val="000000"/>
                <w:sz w:val="24"/>
                <w:szCs w:val="24"/>
              </w:rPr>
            </w:pPr>
            <w:r w:rsidRPr="00725C1D">
              <w:rPr>
                <w:rFonts w:ascii="仿宋" w:eastAsia="仿宋" w:hAnsi="仿宋"/>
                <w:b/>
                <w:bCs/>
                <w:color w:val="000000"/>
                <w:sz w:val="24"/>
                <w:szCs w:val="24"/>
              </w:rPr>
              <w:t>总计</w:t>
            </w:r>
          </w:p>
        </w:tc>
        <w:tc>
          <w:tcPr>
            <w:tcW w:w="871" w:type="dxa"/>
            <w:tcBorders>
              <w:top w:val="single" w:sz="4" w:space="0" w:color="000000"/>
              <w:left w:val="single" w:sz="4" w:space="0" w:color="000000"/>
              <w:bottom w:val="thickThinSmallGap" w:sz="12"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38</w:t>
            </w:r>
          </w:p>
        </w:tc>
        <w:tc>
          <w:tcPr>
            <w:tcW w:w="871" w:type="dxa"/>
            <w:tcBorders>
              <w:top w:val="single" w:sz="4" w:space="0" w:color="000000"/>
              <w:left w:val="single" w:sz="4" w:space="0" w:color="000000"/>
              <w:bottom w:val="thickThinSmallGap" w:sz="12"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4</w:t>
            </w:r>
          </w:p>
        </w:tc>
        <w:tc>
          <w:tcPr>
            <w:tcW w:w="871" w:type="dxa"/>
            <w:tcBorders>
              <w:top w:val="single" w:sz="4" w:space="0" w:color="000000"/>
              <w:left w:val="single" w:sz="4" w:space="0" w:color="000000"/>
              <w:bottom w:val="thickThinSmallGap" w:sz="12"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6</w:t>
            </w:r>
          </w:p>
        </w:tc>
        <w:tc>
          <w:tcPr>
            <w:tcW w:w="871" w:type="dxa"/>
            <w:tcBorders>
              <w:top w:val="single" w:sz="4" w:space="0" w:color="000000"/>
              <w:left w:val="single" w:sz="4" w:space="0" w:color="000000"/>
              <w:bottom w:val="thickThinSmallGap" w:sz="12" w:space="0" w:color="000000"/>
              <w:right w:val="single" w:sz="4"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139</w:t>
            </w:r>
          </w:p>
        </w:tc>
        <w:tc>
          <w:tcPr>
            <w:tcW w:w="872" w:type="dxa"/>
            <w:tcBorders>
              <w:top w:val="single" w:sz="4" w:space="0" w:color="000000"/>
              <w:left w:val="single" w:sz="4" w:space="0" w:color="000000"/>
              <w:bottom w:val="thickThinSmallGap" w:sz="12" w:space="0" w:color="000000"/>
              <w:right w:val="thickThinSmallGap" w:sz="12" w:space="0" w:color="000000"/>
            </w:tcBorders>
            <w:vAlign w:val="center"/>
            <w:hideMark/>
          </w:tcPr>
          <w:p w:rsidR="00725C1D" w:rsidRPr="00725C1D" w:rsidRDefault="00725C1D">
            <w:pPr>
              <w:widowControl/>
              <w:spacing w:line="300" w:lineRule="exact"/>
              <w:jc w:val="center"/>
              <w:rPr>
                <w:rFonts w:ascii="仿宋" w:eastAsia="仿宋" w:hAnsi="仿宋" w:cs="宋体"/>
                <w:kern w:val="0"/>
                <w:sz w:val="24"/>
                <w:szCs w:val="24"/>
              </w:rPr>
            </w:pPr>
            <w:r w:rsidRPr="00725C1D">
              <w:rPr>
                <w:rFonts w:ascii="仿宋" w:eastAsia="仿宋" w:hAnsi="仿宋" w:cs="宋体" w:hint="eastAsia"/>
                <w:kern w:val="0"/>
                <w:sz w:val="24"/>
                <w:szCs w:val="24"/>
              </w:rPr>
              <w:t>187</w:t>
            </w:r>
          </w:p>
        </w:tc>
      </w:tr>
    </w:tbl>
    <w:p w:rsidR="00725C1D" w:rsidRDefault="00725C1D" w:rsidP="00725C1D">
      <w:pPr>
        <w:spacing w:line="560" w:lineRule="exact"/>
        <w:ind w:firstLineChars="150" w:firstLine="480"/>
        <w:rPr>
          <w:rFonts w:ascii="楷体_GB2312" w:hint="eastAsia"/>
          <w:color w:val="000000"/>
          <w:sz w:val="32"/>
          <w:szCs w:val="32"/>
        </w:rPr>
      </w:pPr>
      <w:r>
        <w:rPr>
          <w:rFonts w:ascii="楷体_GB2312" w:hAnsi="楷体_GB2312"/>
          <w:color w:val="000000"/>
          <w:sz w:val="32"/>
          <w:szCs w:val="32"/>
        </w:rPr>
        <w:t>（三）投诉举报分布情况</w:t>
      </w:r>
    </w:p>
    <w:p w:rsidR="00725C1D" w:rsidRDefault="00725C1D" w:rsidP="00725C1D">
      <w:pPr>
        <w:spacing w:line="560" w:lineRule="exact"/>
        <w:ind w:firstLineChars="200" w:firstLine="640"/>
        <w:rPr>
          <w:rFonts w:ascii="仿宋_GB2312" w:eastAsia="仿宋_GB2312"/>
          <w:sz w:val="32"/>
          <w:szCs w:val="32"/>
        </w:rPr>
      </w:pPr>
      <w:r>
        <w:rPr>
          <w:rFonts w:ascii="仿宋_GB2312" w:eastAsia="仿宋_GB2312" w:hint="eastAsia"/>
          <w:sz w:val="32"/>
          <w:szCs w:val="32"/>
        </w:rPr>
        <w:t>上海市各电网企业按照</w:t>
      </w:r>
      <w:r>
        <w:rPr>
          <w:rFonts w:ascii="仿宋_GB2312" w:eastAsia="仿宋_GB2312" w:hint="eastAsia"/>
          <w:color w:val="000000"/>
          <w:sz w:val="32"/>
          <w:szCs w:val="32"/>
        </w:rPr>
        <w:t>投诉举报数量排序，排名靠前的分别是市南、浦东和市区供电公司</w:t>
      </w:r>
      <w:r>
        <w:rPr>
          <w:rFonts w:ascii="仿宋_GB2312" w:eastAsia="仿宋_GB2312" w:hint="eastAsia"/>
          <w:sz w:val="32"/>
          <w:szCs w:val="32"/>
        </w:rPr>
        <w:t>。</w:t>
      </w:r>
    </w:p>
    <w:p w:rsidR="00725C1D" w:rsidRDefault="00725C1D" w:rsidP="00725C1D">
      <w:pPr>
        <w:widowControl/>
        <w:snapToGrid w:val="0"/>
        <w:spacing w:beforeLines="50" w:before="156" w:line="360" w:lineRule="auto"/>
        <w:jc w:val="center"/>
        <w:rPr>
          <w:rFonts w:ascii="宋体" w:hAnsi="宋体" w:hint="eastAsia"/>
          <w:b/>
          <w:color w:val="000000"/>
          <w:kern w:val="0"/>
          <w:sz w:val="30"/>
          <w:szCs w:val="30"/>
        </w:rPr>
      </w:pPr>
      <w:r>
        <w:rPr>
          <w:rFonts w:ascii="宋体" w:hAnsi="宋体" w:hint="eastAsia"/>
          <w:b/>
          <w:color w:val="000000"/>
          <w:kern w:val="0"/>
          <w:sz w:val="30"/>
          <w:szCs w:val="30"/>
        </w:rPr>
        <w:t xml:space="preserve">表三 上海市2023年9月投诉举报排名情况 </w:t>
      </w:r>
    </w:p>
    <w:p w:rsidR="00725C1D" w:rsidRDefault="00725C1D" w:rsidP="00725C1D">
      <w:pPr>
        <w:widowControl/>
        <w:snapToGrid w:val="0"/>
        <w:jc w:val="right"/>
        <w:rPr>
          <w:rFonts w:ascii="宋体" w:hAnsi="宋体" w:hint="eastAsia"/>
          <w:color w:val="000000"/>
          <w:kern w:val="0"/>
          <w:sz w:val="24"/>
          <w:szCs w:val="24"/>
        </w:rPr>
      </w:pPr>
      <w:r>
        <w:rPr>
          <w:rFonts w:ascii="宋体" w:hAnsi="宋体" w:hint="eastAsia"/>
          <w:color w:val="000000"/>
          <w:kern w:val="0"/>
          <w:sz w:val="24"/>
          <w:szCs w:val="24"/>
        </w:rPr>
        <w:t>单位：件</w:t>
      </w:r>
    </w:p>
    <w:tbl>
      <w:tblPr>
        <w:tblW w:w="4240" w:type="pct"/>
        <w:jc w:val="center"/>
        <w:tblBorders>
          <w:top w:val="thinThickSmallGap" w:sz="12" w:space="0" w:color="000000"/>
          <w:left w:val="thinThickSmallGap" w:sz="12" w:space="0" w:color="000000"/>
          <w:bottom w:val="thickThinSmallGap" w:sz="12" w:space="0" w:color="000000"/>
          <w:right w:val="thickThinSmallGap" w:sz="12" w:space="0" w:color="000000"/>
          <w:insideH w:val="single" w:sz="4" w:space="0" w:color="000000"/>
          <w:insideV w:val="single" w:sz="4" w:space="0" w:color="000000"/>
        </w:tblBorders>
        <w:tblLook w:val="04A0" w:firstRow="1" w:lastRow="0" w:firstColumn="1" w:lastColumn="0" w:noHBand="0" w:noVBand="1"/>
      </w:tblPr>
      <w:tblGrid>
        <w:gridCol w:w="1235"/>
        <w:gridCol w:w="3140"/>
        <w:gridCol w:w="2852"/>
      </w:tblGrid>
      <w:tr w:rsidR="00725C1D" w:rsidTr="00725C1D">
        <w:trPr>
          <w:trHeight w:val="510"/>
          <w:jc w:val="center"/>
        </w:trPr>
        <w:tc>
          <w:tcPr>
            <w:tcW w:w="854" w:type="pct"/>
            <w:tcBorders>
              <w:top w:val="thinThickSmallGap" w:sz="12"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排序</w:t>
            </w:r>
          </w:p>
        </w:tc>
        <w:tc>
          <w:tcPr>
            <w:tcW w:w="2172"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电网企业</w:t>
            </w:r>
          </w:p>
        </w:tc>
        <w:tc>
          <w:tcPr>
            <w:tcW w:w="1973" w:type="pct"/>
            <w:tcBorders>
              <w:top w:val="thinThickSmallGap" w:sz="12"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投诉举报</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lastRenderedPageBreak/>
              <w:t>1</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宋体" w:cs="宋体" w:hint="eastAsia"/>
                <w:sz w:val="24"/>
                <w:szCs w:val="24"/>
              </w:rPr>
              <w:t>市南</w:t>
            </w:r>
            <w:r>
              <w:rPr>
                <w:rFonts w:ascii="仿宋_GB2312" w:eastAsia="仿宋_GB2312" w:hAnsi="黑体" w:cs="宋体" w:hint="eastAsia"/>
                <w:color w:val="000000"/>
                <w:kern w:val="0"/>
                <w:sz w:val="24"/>
                <w:szCs w:val="24"/>
              </w:rPr>
              <w:t>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3</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黑体" w:cs="宋体" w:hint="eastAsia"/>
                <w:color w:val="000000"/>
                <w:kern w:val="0"/>
                <w:sz w:val="24"/>
                <w:szCs w:val="24"/>
              </w:rPr>
              <w:t>浦东</w:t>
            </w:r>
            <w:r>
              <w:rPr>
                <w:rFonts w:ascii="仿宋_GB2312" w:eastAsia="仿宋_GB2312" w:hAnsi="宋体" w:cs="宋体" w:hint="eastAsia"/>
                <w:sz w:val="24"/>
                <w:szCs w:val="24"/>
              </w:rPr>
              <w:t>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市区供电公司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市北供电公司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松江供电公司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854"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2172"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嘉定供电公司</w:t>
            </w:r>
          </w:p>
        </w:tc>
        <w:tc>
          <w:tcPr>
            <w:tcW w:w="1973"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854" w:type="pct"/>
            <w:tcBorders>
              <w:top w:val="single" w:sz="4" w:space="0" w:color="000000"/>
              <w:left w:val="thinThickSmallGap" w:sz="12" w:space="0" w:color="000000"/>
              <w:bottom w:val="thickThinSmallGap" w:sz="12"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2172"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青浦供电公司</w:t>
            </w:r>
          </w:p>
        </w:tc>
        <w:tc>
          <w:tcPr>
            <w:tcW w:w="1973" w:type="pct"/>
            <w:tcBorders>
              <w:top w:val="single" w:sz="4" w:space="0" w:color="000000"/>
              <w:left w:val="single" w:sz="4" w:space="0" w:color="000000"/>
              <w:bottom w:val="thickThinSmallGap" w:sz="12" w:space="0" w:color="000000"/>
              <w:right w:val="thickThinSmallGap" w:sz="12" w:space="0" w:color="000000"/>
            </w:tcBorders>
            <w:vAlign w:val="center"/>
            <w:hideMark/>
          </w:tcPr>
          <w:p w:rsidR="00725C1D" w:rsidRDefault="00725C1D">
            <w:pPr>
              <w:jc w:val="center"/>
              <w:rPr>
                <w:rFonts w:ascii="仿宋_GB2312" w:eastAsia="仿宋_GB2312" w:hAnsi="宋体" w:cs="宋体"/>
                <w:sz w:val="24"/>
                <w:szCs w:val="24"/>
              </w:rPr>
            </w:pPr>
            <w:r>
              <w:rPr>
                <w:rFonts w:ascii="仿宋_GB2312" w:eastAsia="仿宋_GB2312" w:hAnsi="宋体" w:cs="宋体" w:hint="eastAsia"/>
                <w:sz w:val="24"/>
                <w:szCs w:val="24"/>
              </w:rPr>
              <w:t>1</w:t>
            </w:r>
          </w:p>
        </w:tc>
      </w:tr>
    </w:tbl>
    <w:p w:rsidR="00725C1D" w:rsidRDefault="00725C1D" w:rsidP="00725C1D">
      <w:pPr>
        <w:spacing w:line="56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安徽省各电网企业按照投诉举报数量排序，</w:t>
      </w:r>
      <w:r>
        <w:rPr>
          <w:rFonts w:ascii="仿宋_GB2312" w:eastAsia="仿宋_GB2312" w:hint="eastAsia"/>
          <w:color w:val="000000"/>
          <w:sz w:val="32"/>
          <w:szCs w:val="32"/>
        </w:rPr>
        <w:t>排名靠前的</w:t>
      </w:r>
      <w:r>
        <w:rPr>
          <w:rFonts w:ascii="仿宋_GB2312" w:eastAsia="仿宋_GB2312" w:hint="eastAsia"/>
          <w:sz w:val="32"/>
          <w:szCs w:val="32"/>
        </w:rPr>
        <w:t>分别是合肥和亳州供电公司。</w:t>
      </w:r>
    </w:p>
    <w:p w:rsidR="00725C1D" w:rsidRDefault="00725C1D" w:rsidP="00725C1D">
      <w:pPr>
        <w:widowControl/>
        <w:snapToGrid w:val="0"/>
        <w:spacing w:beforeLines="50" w:before="156" w:line="360" w:lineRule="auto"/>
        <w:jc w:val="center"/>
        <w:rPr>
          <w:rFonts w:ascii="宋体" w:hAnsi="宋体" w:hint="eastAsia"/>
          <w:b/>
          <w:color w:val="000000"/>
          <w:kern w:val="0"/>
          <w:sz w:val="30"/>
          <w:szCs w:val="30"/>
        </w:rPr>
      </w:pPr>
      <w:r>
        <w:rPr>
          <w:rFonts w:ascii="宋体" w:hAnsi="宋体" w:hint="eastAsia"/>
          <w:b/>
          <w:color w:val="000000"/>
          <w:kern w:val="0"/>
          <w:sz w:val="30"/>
          <w:szCs w:val="30"/>
        </w:rPr>
        <w:t>表四 安徽省2023年9月投诉举报排名情况</w:t>
      </w:r>
    </w:p>
    <w:p w:rsidR="00725C1D" w:rsidRDefault="00725C1D" w:rsidP="00725C1D">
      <w:pPr>
        <w:widowControl/>
        <w:snapToGrid w:val="0"/>
        <w:jc w:val="right"/>
        <w:rPr>
          <w:rFonts w:ascii="宋体" w:hAnsi="宋体" w:hint="eastAsia"/>
          <w:color w:val="000000"/>
          <w:kern w:val="0"/>
          <w:sz w:val="24"/>
          <w:szCs w:val="24"/>
        </w:rPr>
      </w:pPr>
      <w:r>
        <w:rPr>
          <w:rFonts w:ascii="宋体" w:hAnsi="宋体" w:hint="eastAsia"/>
          <w:color w:val="000000"/>
          <w:kern w:val="0"/>
          <w:sz w:val="24"/>
          <w:szCs w:val="24"/>
        </w:rPr>
        <w:t>单位：件</w:t>
      </w:r>
    </w:p>
    <w:tbl>
      <w:tblPr>
        <w:tblW w:w="4653" w:type="pct"/>
        <w:jc w:val="center"/>
        <w:tblBorders>
          <w:top w:val="thinThickSmallGap" w:sz="12" w:space="0" w:color="000000"/>
          <w:left w:val="thinThickSmallGap" w:sz="12" w:space="0" w:color="000000"/>
          <w:bottom w:val="thickThinSmallGap" w:sz="12" w:space="0" w:color="000000"/>
          <w:right w:val="thickThinSmallGap" w:sz="12" w:space="0" w:color="000000"/>
          <w:insideH w:val="single" w:sz="4" w:space="0" w:color="000000"/>
          <w:insideV w:val="single" w:sz="4" w:space="0" w:color="000000"/>
        </w:tblBorders>
        <w:tblLook w:val="04A0" w:firstRow="1" w:lastRow="0" w:firstColumn="1" w:lastColumn="0" w:noHBand="0" w:noVBand="1"/>
      </w:tblPr>
      <w:tblGrid>
        <w:gridCol w:w="1949"/>
        <w:gridCol w:w="3438"/>
        <w:gridCol w:w="2544"/>
      </w:tblGrid>
      <w:tr w:rsidR="00725C1D" w:rsidTr="00725C1D">
        <w:trPr>
          <w:trHeight w:val="510"/>
          <w:jc w:val="center"/>
        </w:trPr>
        <w:tc>
          <w:tcPr>
            <w:tcW w:w="1228" w:type="pct"/>
            <w:tcBorders>
              <w:top w:val="thinThickSmallGap" w:sz="12"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排序</w:t>
            </w:r>
          </w:p>
        </w:tc>
        <w:tc>
          <w:tcPr>
            <w:tcW w:w="2167" w:type="pct"/>
            <w:tcBorders>
              <w:top w:val="thinThickSmallGap" w:sz="12"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电网企业</w:t>
            </w:r>
          </w:p>
        </w:tc>
        <w:tc>
          <w:tcPr>
            <w:tcW w:w="1604" w:type="pct"/>
            <w:tcBorders>
              <w:top w:val="thinThickSmallGap" w:sz="12"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投诉举报</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黑体" w:cs="宋体"/>
                <w:color w:val="000000"/>
                <w:kern w:val="0"/>
                <w:sz w:val="24"/>
                <w:szCs w:val="24"/>
              </w:rPr>
            </w:pPr>
            <w:r>
              <w:rPr>
                <w:rFonts w:ascii="仿宋_GB2312" w:eastAsia="仿宋_GB2312" w:hAnsi="黑体" w:cs="宋体" w:hint="eastAsia"/>
                <w:color w:val="000000"/>
                <w:kern w:val="0"/>
                <w:sz w:val="24"/>
                <w:szCs w:val="24"/>
              </w:rPr>
              <w:t>1</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合肥供电公司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8</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亳州供电公司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4</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蚌埠供电公司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芜湖供电公司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黄山供电公司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阜阳供电公司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安庆供电公司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2</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淮南供电公司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宿州供电公司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池州供电公司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宣城供电公司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1228" w:type="pct"/>
            <w:tcBorders>
              <w:top w:val="single" w:sz="4" w:space="0" w:color="000000"/>
              <w:left w:val="thinThickSmallGap" w:sz="12"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single" w:sz="4"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马鞍山供电公司</w:t>
            </w:r>
          </w:p>
        </w:tc>
        <w:tc>
          <w:tcPr>
            <w:tcW w:w="1604" w:type="pct"/>
            <w:tcBorders>
              <w:top w:val="single" w:sz="4" w:space="0" w:color="000000"/>
              <w:left w:val="single" w:sz="4" w:space="0" w:color="000000"/>
              <w:bottom w:val="single" w:sz="4"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r w:rsidR="00725C1D" w:rsidTr="00725C1D">
        <w:trPr>
          <w:trHeight w:val="510"/>
          <w:jc w:val="center"/>
        </w:trPr>
        <w:tc>
          <w:tcPr>
            <w:tcW w:w="1228" w:type="pct"/>
            <w:tcBorders>
              <w:top w:val="single" w:sz="4" w:space="0" w:color="000000"/>
              <w:left w:val="thinThickSmallGap" w:sz="12" w:space="0" w:color="000000"/>
              <w:bottom w:val="thickThinSmallGap" w:sz="12" w:space="0" w:color="000000"/>
              <w:right w:val="single" w:sz="4" w:space="0" w:color="000000"/>
            </w:tcBorders>
            <w:vAlign w:val="center"/>
            <w:hideMark/>
          </w:tcPr>
          <w:p w:rsidR="00725C1D" w:rsidRDefault="00725C1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2167" w:type="pct"/>
            <w:tcBorders>
              <w:top w:val="single" w:sz="4" w:space="0" w:color="000000"/>
              <w:left w:val="single" w:sz="4" w:space="0" w:color="000000"/>
              <w:bottom w:val="thickThinSmallGap" w:sz="12" w:space="0" w:color="000000"/>
              <w:right w:val="single" w:sz="4"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滁州供电公司</w:t>
            </w:r>
          </w:p>
        </w:tc>
        <w:tc>
          <w:tcPr>
            <w:tcW w:w="1604" w:type="pct"/>
            <w:tcBorders>
              <w:top w:val="single" w:sz="4" w:space="0" w:color="000000"/>
              <w:left w:val="single" w:sz="4" w:space="0" w:color="000000"/>
              <w:bottom w:val="thickThinSmallGap" w:sz="12" w:space="0" w:color="000000"/>
              <w:right w:val="thickThinSmallGap" w:sz="12" w:space="0" w:color="000000"/>
            </w:tcBorders>
            <w:vAlign w:val="center"/>
            <w:hideMark/>
          </w:tcPr>
          <w:p w:rsidR="00725C1D" w:rsidRDefault="00725C1D">
            <w:pPr>
              <w:widowControl/>
              <w:jc w:val="center"/>
              <w:rPr>
                <w:rFonts w:ascii="仿宋_GB2312" w:eastAsia="仿宋_GB2312" w:hAnsi="宋体" w:cs="宋体"/>
                <w:sz w:val="24"/>
                <w:szCs w:val="24"/>
              </w:rPr>
            </w:pPr>
            <w:r>
              <w:rPr>
                <w:rFonts w:ascii="仿宋_GB2312" w:eastAsia="仿宋_GB2312" w:hAnsi="宋体" w:cs="宋体" w:hint="eastAsia"/>
                <w:sz w:val="24"/>
                <w:szCs w:val="24"/>
              </w:rPr>
              <w:t>1</w:t>
            </w:r>
          </w:p>
        </w:tc>
      </w:tr>
    </w:tbl>
    <w:p w:rsidR="00725C1D" w:rsidRDefault="00725C1D" w:rsidP="00725C1D">
      <w:pPr>
        <w:spacing w:line="560" w:lineRule="exact"/>
        <w:ind w:firstLineChars="200" w:firstLine="640"/>
        <w:rPr>
          <w:rFonts w:ascii="黑体" w:eastAsia="黑体" w:hint="eastAsia"/>
          <w:color w:val="000000"/>
          <w:sz w:val="32"/>
          <w:szCs w:val="32"/>
        </w:rPr>
      </w:pPr>
      <w:r>
        <w:rPr>
          <w:rFonts w:ascii="黑体" w:eastAsia="黑体" w:hAnsi="黑体" w:hint="eastAsia"/>
          <w:color w:val="000000"/>
          <w:sz w:val="32"/>
          <w:szCs w:val="32"/>
        </w:rPr>
        <w:t>二、反映的主要问题及原因分析</w:t>
      </w:r>
    </w:p>
    <w:p w:rsidR="00725C1D" w:rsidRDefault="00725C1D" w:rsidP="00725C1D">
      <w:pPr>
        <w:spacing w:line="600" w:lineRule="exact"/>
        <w:ind w:firstLineChars="200" w:firstLine="640"/>
        <w:rPr>
          <w:rFonts w:ascii="楷体_GB2312" w:hint="eastAsia"/>
          <w:color w:val="000000"/>
          <w:sz w:val="32"/>
          <w:szCs w:val="32"/>
        </w:rPr>
      </w:pPr>
      <w:r>
        <w:rPr>
          <w:rFonts w:ascii="楷体_GB2312" w:hAnsi="楷体_GB2312"/>
          <w:color w:val="000000"/>
          <w:sz w:val="32"/>
          <w:szCs w:val="32"/>
        </w:rPr>
        <w:lastRenderedPageBreak/>
        <w:t>（一）主要问题</w:t>
      </w:r>
    </w:p>
    <w:p w:rsidR="00725C1D" w:rsidRDefault="00725C1D" w:rsidP="00725C1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投诉举报反映的问题主要集中在电力行业，其次为</w:t>
      </w:r>
      <w:r>
        <w:rPr>
          <w:rFonts w:ascii="仿宋_GB2312" w:eastAsia="仿宋_GB2312" w:hint="eastAsia"/>
          <w:sz w:val="32"/>
          <w:szCs w:val="32"/>
        </w:rPr>
        <w:t>新能源和可再生能源行业</w:t>
      </w:r>
      <w:r>
        <w:rPr>
          <w:rFonts w:ascii="仿宋_GB2312" w:eastAsia="仿宋_GB2312" w:hint="eastAsia"/>
          <w:color w:val="000000"/>
          <w:sz w:val="32"/>
          <w:szCs w:val="32"/>
        </w:rPr>
        <w:t>。</w:t>
      </w:r>
    </w:p>
    <w:p w:rsidR="00725C1D" w:rsidRDefault="00725C1D" w:rsidP="00725C1D">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电力行业在供电服务、电力安全等方面的主要问题包括：一是个别地区停电未通知或停电时间较长，给群众生产生活带来不便；二是出账电费与用户实际使用预期存在差异；三是个别供电企业办理</w:t>
      </w:r>
      <w:proofErr w:type="gramStart"/>
      <w:r>
        <w:rPr>
          <w:rFonts w:ascii="仿宋_GB2312" w:eastAsia="仿宋_GB2312" w:hint="eastAsia"/>
          <w:color w:val="000000"/>
          <w:sz w:val="32"/>
          <w:szCs w:val="32"/>
        </w:rPr>
        <w:t>涉电业务</w:t>
      </w:r>
      <w:proofErr w:type="gramEnd"/>
      <w:r>
        <w:rPr>
          <w:rFonts w:ascii="仿宋_GB2312" w:eastAsia="仿宋_GB2312" w:hint="eastAsia"/>
          <w:color w:val="000000"/>
          <w:sz w:val="32"/>
          <w:szCs w:val="32"/>
        </w:rPr>
        <w:t>不规范、处理供电服务不及时；四是供电设施距离建筑物较近或</w:t>
      </w:r>
      <w:proofErr w:type="gramStart"/>
      <w:r>
        <w:rPr>
          <w:rFonts w:ascii="仿宋_GB2312" w:eastAsia="仿宋_GB2312" w:hint="eastAsia"/>
          <w:color w:val="000000"/>
          <w:sz w:val="32"/>
          <w:szCs w:val="32"/>
        </w:rPr>
        <w:t>消缺不及时</w:t>
      </w:r>
      <w:proofErr w:type="gramEnd"/>
      <w:r>
        <w:rPr>
          <w:rFonts w:ascii="仿宋_GB2312" w:eastAsia="仿宋_GB2312" w:hint="eastAsia"/>
          <w:color w:val="000000"/>
          <w:sz w:val="32"/>
          <w:szCs w:val="32"/>
        </w:rPr>
        <w:t>，存在安全隐患。</w:t>
      </w:r>
    </w:p>
    <w:p w:rsidR="00725C1D" w:rsidRDefault="00725C1D" w:rsidP="00725C1D">
      <w:pPr>
        <w:spacing w:line="60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新能源和可再生能源行业主要反映个别地区户用分布式光伏发电项目并网接入受到限制。</w:t>
      </w:r>
    </w:p>
    <w:p w:rsidR="00725C1D" w:rsidRDefault="00725C1D" w:rsidP="00725C1D">
      <w:pPr>
        <w:numPr>
          <w:ilvl w:val="0"/>
          <w:numId w:val="1"/>
        </w:numPr>
        <w:spacing w:line="600" w:lineRule="exact"/>
        <w:ind w:firstLineChars="200" w:firstLine="640"/>
        <w:rPr>
          <w:rFonts w:ascii="楷体_GB2312" w:hint="eastAsia"/>
          <w:color w:val="000000"/>
          <w:sz w:val="32"/>
          <w:szCs w:val="32"/>
        </w:rPr>
      </w:pPr>
      <w:r>
        <w:rPr>
          <w:rFonts w:ascii="楷体_GB2312" w:hAnsi="楷体_GB2312"/>
          <w:color w:val="000000"/>
          <w:sz w:val="32"/>
          <w:szCs w:val="32"/>
        </w:rPr>
        <w:t>原因分析</w:t>
      </w:r>
    </w:p>
    <w:p w:rsidR="00725C1D" w:rsidRDefault="00725C1D" w:rsidP="00725C1D">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经分析，造成以上问题的主要原因：一是个别地区供电企业设备巡查工作不到位，未及时发现和处理潜在的隐患缺陷；二是受气候影响，空调等大功率电器设备使用频率频次增加，导致电费增长超出预期；三是个别地区供电企业管理措施落实不到位，工作人员责任心不强，服务不规范；四是个别地区受电网承载力所限，改造提升不到位，</w:t>
      </w:r>
      <w:proofErr w:type="gramStart"/>
      <w:r>
        <w:rPr>
          <w:rFonts w:ascii="仿宋_GB2312" w:eastAsia="仿宋_GB2312" w:hint="eastAsia"/>
          <w:color w:val="000000"/>
          <w:sz w:val="32"/>
          <w:szCs w:val="32"/>
        </w:rPr>
        <w:t>影响户</w:t>
      </w:r>
      <w:proofErr w:type="gramEnd"/>
      <w:r>
        <w:rPr>
          <w:rFonts w:ascii="仿宋_GB2312" w:eastAsia="仿宋_GB2312" w:hint="eastAsia"/>
          <w:color w:val="000000"/>
          <w:sz w:val="32"/>
          <w:szCs w:val="32"/>
        </w:rPr>
        <w:t>用分布式光</w:t>
      </w:r>
      <w:proofErr w:type="gramStart"/>
      <w:r>
        <w:rPr>
          <w:rFonts w:ascii="仿宋_GB2312" w:eastAsia="仿宋_GB2312" w:hint="eastAsia"/>
          <w:color w:val="000000"/>
          <w:sz w:val="32"/>
          <w:szCs w:val="32"/>
        </w:rPr>
        <w:t>伏及时</w:t>
      </w:r>
      <w:proofErr w:type="gramEnd"/>
      <w:r>
        <w:rPr>
          <w:rFonts w:ascii="仿宋_GB2312" w:eastAsia="仿宋_GB2312" w:hint="eastAsia"/>
          <w:color w:val="000000"/>
          <w:sz w:val="32"/>
          <w:szCs w:val="32"/>
        </w:rPr>
        <w:t>并网接入。</w:t>
      </w:r>
    </w:p>
    <w:p w:rsidR="00725C1D" w:rsidRDefault="00725C1D" w:rsidP="00725C1D">
      <w:pPr>
        <w:spacing w:line="60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三、处理结果</w:t>
      </w:r>
    </w:p>
    <w:p w:rsidR="00725C1D" w:rsidRDefault="00725C1D" w:rsidP="00725C1D">
      <w:pPr>
        <w:spacing w:line="60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2023年9月</w:t>
      </w:r>
      <w:r>
        <w:rPr>
          <w:rFonts w:ascii="仿宋_GB2312" w:eastAsia="仿宋_GB2312" w:hint="eastAsia"/>
          <w:color w:val="000000"/>
          <w:sz w:val="32"/>
          <w:szCs w:val="32"/>
        </w:rPr>
        <w:t>共收到投诉举报信息42件，根据有关规定，华东能源监管局对其中37件投诉举报信息进行了受理并开展调查处理，占投诉举报量的88.10%。</w:t>
      </w:r>
    </w:p>
    <w:p w:rsidR="00725C1D" w:rsidRDefault="00725C1D" w:rsidP="00725C1D">
      <w:pPr>
        <w:spacing w:line="60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针对群众反映的投诉举报事项，华东能源监管局严格依</w:t>
      </w:r>
      <w:r>
        <w:rPr>
          <w:rFonts w:ascii="仿宋_GB2312" w:eastAsia="仿宋_GB2312" w:hint="eastAsia"/>
          <w:color w:val="000000"/>
          <w:sz w:val="32"/>
          <w:szCs w:val="32"/>
        </w:rPr>
        <w:lastRenderedPageBreak/>
        <w:t>据国家有关法律法规及规定进行了处理：一是通过协调督促，加快频繁停电、低电压等电能质量问题的解决速度，保障了群众正常生产生活；二是通过责令整改、监管约谈等方式，及时纠正了供电企业违法违规行为，维护了当事人的合法权益；三是通过沟通协调、解释说明，消除了当事人的误解。</w:t>
      </w:r>
    </w:p>
    <w:p w:rsidR="00725C1D" w:rsidRDefault="00725C1D" w:rsidP="00725C1D">
      <w:pPr>
        <w:spacing w:line="600" w:lineRule="exact"/>
        <w:ind w:firstLineChars="200" w:firstLine="640"/>
        <w:jc w:val="left"/>
        <w:rPr>
          <w:rFonts w:hint="eastAsia"/>
        </w:rPr>
      </w:pPr>
      <w:r>
        <w:rPr>
          <w:rFonts w:ascii="仿宋_GB2312" w:eastAsia="仿宋_GB2312" w:hint="eastAsia"/>
          <w:color w:val="000000"/>
          <w:sz w:val="32"/>
          <w:szCs w:val="32"/>
        </w:rPr>
        <w:t>截至</w:t>
      </w:r>
      <w:r>
        <w:rPr>
          <w:rFonts w:ascii="仿宋_GB2312" w:eastAsia="仿宋_GB2312" w:hint="eastAsia"/>
          <w:sz w:val="32"/>
          <w:szCs w:val="32"/>
        </w:rPr>
        <w:t>2023年9月30日</w:t>
      </w:r>
      <w:r>
        <w:rPr>
          <w:rFonts w:ascii="仿宋_GB2312" w:eastAsia="仿宋_GB2312" w:hint="eastAsia"/>
          <w:color w:val="000000"/>
          <w:sz w:val="32"/>
          <w:szCs w:val="32"/>
        </w:rPr>
        <w:t>，当月已办结投诉举报37件（当月3件，</w:t>
      </w:r>
      <w:proofErr w:type="gramStart"/>
      <w:r>
        <w:rPr>
          <w:rFonts w:ascii="仿宋_GB2312" w:eastAsia="仿宋_GB2312" w:hint="eastAsia"/>
          <w:color w:val="000000"/>
          <w:sz w:val="32"/>
          <w:szCs w:val="32"/>
        </w:rPr>
        <w:t>往期34件</w:t>
      </w:r>
      <w:proofErr w:type="gramEnd"/>
      <w:r>
        <w:rPr>
          <w:rFonts w:ascii="仿宋_GB2312" w:eastAsia="仿宋_GB2312" w:hint="eastAsia"/>
          <w:color w:val="000000"/>
          <w:sz w:val="32"/>
          <w:szCs w:val="32"/>
        </w:rPr>
        <w:t>），完成回访37件，回访成功率为89.19%，用户满意率为96.97%。</w:t>
      </w:r>
    </w:p>
    <w:p w:rsidR="00725C1D" w:rsidRDefault="00725C1D" w:rsidP="00725C1D">
      <w:r>
        <w:t xml:space="preserve"> </w:t>
      </w:r>
    </w:p>
    <w:p w:rsidR="00725C1D" w:rsidRDefault="00725C1D" w:rsidP="00725C1D">
      <w:r>
        <w:t xml:space="preserve"> </w:t>
      </w:r>
    </w:p>
    <w:p w:rsidR="00725C1D" w:rsidRDefault="00725C1D" w:rsidP="00725C1D">
      <w:r>
        <w:t xml:space="preserve"> </w:t>
      </w:r>
    </w:p>
    <w:p w:rsidR="00A2080B" w:rsidRPr="00725C1D" w:rsidRDefault="00A2080B">
      <w:pPr>
        <w:rPr>
          <w:rFonts w:hint="eastAsia"/>
        </w:rPr>
      </w:pPr>
    </w:p>
    <w:sectPr w:rsidR="00A2080B" w:rsidRPr="00725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870A4"/>
    <w:multiLevelType w:val="multilevel"/>
    <w:tmpl w:val="18F24A1C"/>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1D"/>
    <w:rsid w:val="00725C1D"/>
    <w:rsid w:val="00A2080B"/>
    <w:rsid w:val="00A44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1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1D"/>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hdjgj502</dc:creator>
  <cp:lastModifiedBy>hdjgj502</cp:lastModifiedBy>
  <cp:revision>1</cp:revision>
  <dcterms:created xsi:type="dcterms:W3CDTF">2023-10-30T05:00:00Z</dcterms:created>
  <dcterms:modified xsi:type="dcterms:W3CDTF">2023-10-30T05:02:00Z</dcterms:modified>
</cp:coreProperties>
</file>